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849" w:right="883" w:firstLine="0"/>
        <w:jc w:val="center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&lt;Edição&gt; </w:t>
      </w:r>
      <w:r w:rsidDel="00000000" w:rsidR="00000000" w:rsidRPr="00000000">
        <w:rPr>
          <w:rFonts w:ascii="PMingLiU" w:cs="PMingLiU" w:eastAsia="PMingLiU" w:hAnsi="PMingLiU"/>
          <w:sz w:val="41"/>
          <w:szCs w:val="41"/>
          <w:rtl w:val="0"/>
        </w:rPr>
        <w:t xml:space="preserve">Escola Regional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 de Sistemas de Informação d</w:t>
      </w:r>
      <w:r w:rsidDel="00000000" w:rsidR="00000000" w:rsidRPr="00000000">
        <w:rPr>
          <w:rFonts w:ascii="PMingLiU" w:cs="PMingLiU" w:eastAsia="PMingLiU" w:hAnsi="PMingLiU"/>
          <w:sz w:val="41"/>
          <w:szCs w:val="41"/>
          <w:rtl w:val="0"/>
        </w:rPr>
        <w:t xml:space="preserve">e/o &lt;Estado&gt;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" w:line="240" w:lineRule="auto"/>
        <w:ind w:left="849" w:right="882" w:firstLine="0"/>
        <w:jc w:val="center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&lt;Ano&gt;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9" w:right="882" w:firstLine="0"/>
        <w:jc w:val="center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&lt;Cidade, Estado&gt;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849" w:right="882" w:firstLine="0"/>
        <w:jc w:val="center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&lt;Site da proposta&gt;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849" w:right="882" w:firstLine="0"/>
        <w:jc w:val="center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&lt;Tema do Evento para esta Edição&gt;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1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22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9"/>
          <w:szCs w:val="49"/>
          <w:u w:val="none"/>
          <w:shd w:fill="auto" w:val="clear"/>
          <w:vertAlign w:val="baseline"/>
          <w:rtl w:val="0"/>
        </w:rPr>
        <w:t xml:space="preserve">  Proposta de 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831" w:right="883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Autor(es):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71" w:lineRule="auto"/>
        <w:ind w:left="1443" w:right="1476" w:hanging="0.9999999999999432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Candidato(a) a Organizador(a) Geral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40" w:lineRule="auto"/>
        <w:ind w:left="849" w:right="882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82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476375" cy="191008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10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/>
          <w:pgMar w:bottom="1134" w:top="1134" w:left="1134" w:right="1134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826" w:right="88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Índice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  <w:sectPr>
          <w:type w:val="continuous"/>
          <w:pgSz w:h="16838" w:w="11906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88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30j0zll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Introdução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1fob9te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Organizadores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3znysh7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Comitês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8"/>
          <w:tab w:val="right" w:pos="8267"/>
        </w:tabs>
        <w:spacing w:after="0" w:before="53" w:line="240" w:lineRule="auto"/>
        <w:ind w:left="1697" w:right="0" w:hanging="727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2et92p0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Coordenação do Comitê de Programa </w:t>
        </w:r>
      </w:hyperlink>
      <w:hyperlink w:anchor="_tyjcwt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8"/>
          <w:tab w:val="left" w:pos="5228"/>
          <w:tab w:val="right" w:pos="8267"/>
        </w:tabs>
        <w:spacing w:after="0" w:before="52" w:line="240" w:lineRule="auto"/>
        <w:ind w:left="1697" w:right="0" w:hanging="727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3dy6vkm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Comitê de Organização</w:t>
        </w:r>
      </w:hyperlink>
      <w:hyperlink w:anchor="_3dy6vkm">
        <w:r w:rsidDel="00000000" w:rsidR="00000000" w:rsidRPr="00000000">
          <w:rPr>
            <w:rFonts w:ascii="Spectral" w:cs="Spectral" w:eastAsia="Spectral" w:hAnsi="Spectral"/>
            <w:sz w:val="28"/>
            <w:szCs w:val="28"/>
            <w:rtl w:val="0"/>
          </w:rPr>
          <w:t xml:space="preserve">            </w:t>
        </w:r>
      </w:hyperlink>
      <w:hyperlink w:anchor="_3dy6vkm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2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1t3h5sf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Apresentação da Sede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2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Apresentação do Tema </w:t>
      </w:r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do Evento</w:t>
        <w:tab/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2s8eyo1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Datas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17dp8vu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Viabilidade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35nkun2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Plano de Obtenção de Recursos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1ksv4uv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Orçamento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z337ya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Programação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sz w:val="28"/>
          <w:szCs w:val="28"/>
          <w:u w:val="none"/>
        </w:rPr>
      </w:pPr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Publicação dos Anais</w:t>
        <w:tab/>
        <w:t xml:space="preserve">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1"/>
          <w:tab w:val="right" w:pos="8267"/>
        </w:tabs>
        <w:spacing w:after="0" w:before="363" w:line="240" w:lineRule="auto"/>
        <w:ind w:left="970" w:right="0" w:hanging="473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1y810tw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Apêndices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8"/>
          <w:tab w:val="left" w:pos="6519"/>
          <w:tab w:val="right" w:pos="8267"/>
        </w:tabs>
        <w:spacing w:after="0" w:before="53" w:line="240" w:lineRule="auto"/>
        <w:ind w:left="1697" w:right="0" w:hanging="727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</w:pPr>
      <w:hyperlink w:anchor="_4i7ojhp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Carta de Chancela da Instituição</w:t>
          <w:tab/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8"/>
          <w:tab w:val="right" w:pos="8267"/>
        </w:tabs>
        <w:spacing w:after="0" w:before="52" w:line="271" w:lineRule="auto"/>
        <w:ind w:left="1697" w:right="530" w:hanging="727"/>
        <w:jc w:val="left"/>
        <w:rPr>
          <w:rFonts w:ascii="Spectral" w:cs="Spectral" w:eastAsia="Spectral" w:hAnsi="Spectral"/>
          <w:i w:val="0"/>
          <w:smallCaps w:val="0"/>
          <w:strike w:val="0"/>
          <w:sz w:val="28"/>
          <w:szCs w:val="28"/>
          <w:shd w:fill="auto" w:val="clear"/>
        </w:rPr>
        <w:sectPr>
          <w:type w:val="continuous"/>
          <w:pgSz w:h="16838" w:w="11906"/>
          <w:pgMar w:bottom="1134" w:top="1134" w:left="1134" w:right="1134" w:header="720" w:footer="720"/>
        </w:sectPr>
      </w:pPr>
      <w:hyperlink w:anchor="_2xcytpi">
        <w:r w:rsidDel="00000000" w:rsidR="00000000" w:rsidRPr="00000000">
          <w:rPr>
            <w:rFonts w:ascii="Spectral" w:cs="Spectral" w:eastAsia="Spectral" w:hAnsi="Spectral"/>
            <w:i w:val="0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Declaração de Ciência do Manual de Organização de Eventos da SBC </w:t>
          <w:tab/>
        </w:r>
      </w:hyperlink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eorgia" w:cs="Georgia" w:eastAsia="Georgia" w:hAnsi="Georgia"/>
          <w:sz w:val="48"/>
          <w:szCs w:val="4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eorgia" w:cs="Georgia" w:eastAsia="Georgia" w:hAnsi="Georgia"/>
          <w:sz w:val="48"/>
          <w:szCs w:val="48"/>
        </w:rPr>
      </w:pPr>
      <w:bookmarkStart w:colFirst="0" w:colLast="0" w:name="_zdvsi583izw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eorgia" w:cs="Georgia" w:eastAsia="Georgia" w:hAnsi="Georgia"/>
          <w:sz w:val="48"/>
          <w:szCs w:val="48"/>
        </w:rPr>
      </w:pPr>
      <w:bookmarkStart w:colFirst="0" w:colLast="0" w:name="_c4j87jwg4lv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eorgia" w:cs="Georgia" w:eastAsia="Georgia" w:hAnsi="Georgia"/>
          <w:sz w:val="48"/>
          <w:szCs w:val="48"/>
        </w:rPr>
      </w:pPr>
      <w:bookmarkStart w:colFirst="0" w:colLast="0" w:name="_o36uigcf8tn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0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 os candidatos apresentam um pouco sobre a motivação de levar o evento para sua cidade e universidade.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140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Organizadores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Nomes, fotos, currículos (link para Lattes), e resumo de experiência dos candidatos a coordenadores gerais com a organização de eventos, com Sistemas de Informação e com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ERSI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139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Comitês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seção, os proponentes devem apresentar os nomes que compõem o comitê de organização local, além de nomes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dos coordenadores de cada subevento da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ERSI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egundo as normas, as ERs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preveem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grandes atividades: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runs de discussão de ensino, sessões técnicas e minicursos/palestras.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É importante ressaltar que outras atividades também podem ser propostas e acrescentadas.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tabs>
          <w:tab w:val="left" w:pos="1233"/>
        </w:tabs>
        <w:ind w:left="1232" w:hanging="735"/>
        <w:jc w:val="both"/>
      </w:pPr>
      <w:r w:rsidDel="00000000" w:rsidR="00000000" w:rsidRPr="00000000">
        <w:rPr>
          <w:sz w:val="28"/>
          <w:szCs w:val="28"/>
          <w:rtl w:val="0"/>
        </w:rPr>
        <w:t xml:space="preserve">Coordenação do Comitê de Programa</w:t>
      </w:r>
    </w:p>
    <w:p w:rsidR="00000000" w:rsidDel="00000000" w:rsidP="00000000" w:rsidRDefault="00000000" w:rsidRPr="00000000" w14:paraId="00000042">
      <w:pPr>
        <w:spacing w:before="162" w:line="252.00000000000003" w:lineRule="auto"/>
        <w:ind w:left="497" w:right="53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 o papel do organizador geral não for sobreposto com o coordenador do comitê de programa, o coordenador deveria ser sugerido aqui. Idealmente, ele deveria ser um membro atuante e expressivo na comunidade de SI com experiência na coordenação de comitês de programa de outros eventos. Foto, breve descrição do histórico de atuação de ambos e links para seus currículos lattes.  A coordenação do Comitê deve ser realizada por alguém associado à SBC.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tabs>
          <w:tab w:val="left" w:pos="1233"/>
        </w:tabs>
        <w:ind w:left="1232" w:hanging="735"/>
        <w:jc w:val="both"/>
      </w:pPr>
      <w:r w:rsidDel="00000000" w:rsidR="00000000" w:rsidRPr="00000000">
        <w:rPr>
          <w:sz w:val="28"/>
          <w:szCs w:val="28"/>
          <w:rtl w:val="0"/>
        </w:rPr>
        <w:t xml:space="preserve">Comitê de Organização</w:t>
      </w:r>
    </w:p>
    <w:p w:rsidR="00000000" w:rsidDel="00000000" w:rsidP="00000000" w:rsidRDefault="00000000" w:rsidRPr="00000000" w14:paraId="00000045">
      <w:pPr>
        <w:spacing w:before="162" w:lineRule="auto"/>
        <w:ind w:left="497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Nesta parte, os autores devem listar os nomes envolvidos na organização e qual seu papel na organização.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nomes locais para assumir as tarefas relativas à organização, quais sejam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3"/>
        </w:tabs>
        <w:spacing w:after="0" w:before="0" w:line="240" w:lineRule="auto"/>
        <w:ind w:left="1082" w:right="0" w:hanging="2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Divulgação (Publicidade e suas incumbências):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336" w:lineRule="auto"/>
        <w:ind w:left="1480" w:right="817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Divulgação/Página  do  Evento/Facebook/Folders/Placas/Fotos; Página do Facebook; Twitter e outras redes sociais;   Divulgação na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região de influência da sede do evento e em listas nacionais;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082" w:right="530" w:firstLine="398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Divulgar entre alunos a associação à SBC para que eles possam se associar e ter desconto na inscrição do evento;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52.00000000000003" w:lineRule="auto"/>
        <w:ind w:left="1082" w:right="530" w:firstLine="398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Divulgar evento nas outras universidades da região (folders digitais/impressos, contatos);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52.00000000000003" w:lineRule="auto"/>
        <w:ind w:left="1082" w:right="530" w:firstLine="398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Pensar nas sinalizações do local de eventos e mapas para o pessoal se localizar;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336" w:lineRule="auto"/>
        <w:ind w:left="1480" w:right="1258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Pensar na divulgação da programação (e possíveis alterações); Criar material de divulgação;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3"/>
        </w:tabs>
        <w:spacing w:after="0" w:before="95" w:line="240" w:lineRule="auto"/>
        <w:ind w:left="1082" w:right="0" w:hanging="2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Apoio ao deslocamento, acomodação e alimentação de estudantes, apoio a caravanas e outras ações que favoreçam a participação de estudantes da região;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3"/>
        </w:tabs>
        <w:spacing w:after="0" w:before="95" w:line="240" w:lineRule="auto"/>
        <w:ind w:left="1082" w:right="0" w:hanging="237.00000000000003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Patrocínio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48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tipos de patrocínio e apoio;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336" w:lineRule="auto"/>
        <w:ind w:left="1480" w:right="53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Visitar empresas para divulgar o evento e buscar apoio financeiro; Buscar Patrocínios e parcerias em empresas da cidade;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 com secretarias do Estado e municípios pr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ó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ximos;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3"/>
        </w:tabs>
        <w:spacing w:after="0" w:before="214" w:line="240" w:lineRule="auto"/>
        <w:ind w:left="1082" w:right="0" w:hanging="2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Alimentação: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340" w:lineRule="auto"/>
        <w:ind w:left="1480" w:right="1258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Pensar 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coffee-breaks e combinar descontos; Levantamento de valores (e qualidade) de coffee-break;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3"/>
        </w:tabs>
        <w:spacing w:after="0" w:before="198" w:line="240" w:lineRule="auto"/>
        <w:ind w:left="1082" w:right="0" w:hanging="2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(Apoio a inscrições durante o evento)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3"/>
        </w:tabs>
        <w:spacing w:after="0" w:before="195" w:line="240" w:lineRule="auto"/>
        <w:ind w:left="1082" w:right="0" w:hanging="237.000000000000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" w:line="240" w:lineRule="auto"/>
        <w:ind w:left="848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Docentes e Discentes envolvidos.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155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Apresentação da Sede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Detalhes sobre a cidade em que o evento acontecerá, atrativos que a cidade oferece, clima, geografia, infraestrutura etc.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155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Apresentação do Tema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texto curto, de 10 a 20 linhas, que justifique a relevância do tema escolhido para esta edição do SBSI.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139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Datas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Sugestões de datas (2 ou 3 possibilidades de datas para o evento, em ordem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decrescente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prioridade, para deliberação da CE-SI) e uma carta da instituição apoiando a realização do evento...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139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Viabilidade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6" w:right="53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 os organizadores devem apresentar a viabilidade da realização do evento em sua cidade sob as perspectivas da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infraestrutura da instituição para abrigar o evento.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Itens como sugestões de hospedagem e logística devem também ser descritos.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5nkun2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140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Plano de Obtenção de Recursos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seção, os organizadores devem discorrer sobre o plano de obtenção de recursos para o evento, envolvendo entidades de fomento à pesquisa (CNPq, CAPES, FAPE), e patrocínios de empresas locais, nacionais, e/ou internacionais.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ksv4uv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9"/>
        </w:tabs>
        <w:spacing w:after="0" w:before="140" w:line="240" w:lineRule="auto"/>
        <w:ind w:left="1078" w:right="0" w:hanging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Orçamento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52.00000000000003" w:lineRule="auto"/>
        <w:ind w:left="497" w:right="53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uma descrição inicial das despesas previstas para o evento e estimativas de custo com a organização.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jxsxqh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z337ya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50" w:line="240" w:lineRule="auto"/>
        <w:ind w:left="1271" w:right="0" w:hanging="7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Programação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" w:line="240" w:lineRule="auto"/>
        <w:ind w:left="497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Propor disposição do evento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 no mínimo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dois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dias de evento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ERSI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  <w:sz w:val="24"/>
          <w:szCs w:val="24"/>
        </w:rPr>
      </w:pPr>
      <w:bookmarkStart w:colFirst="0" w:colLast="0" w:name="_1y810tw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tabs>
          <w:tab w:val="left" w:pos="1272"/>
        </w:tabs>
        <w:spacing w:before="156" w:lineRule="auto"/>
        <w:ind w:left="1271" w:hanging="774"/>
      </w:pPr>
      <w:bookmarkStart w:colFirst="0" w:colLast="0" w:name="_4i7ojhp" w:id="16"/>
      <w:bookmarkEnd w:id="16"/>
      <w:r w:rsidDel="00000000" w:rsidR="00000000" w:rsidRPr="00000000">
        <w:rPr>
          <w:sz w:val="34"/>
          <w:szCs w:val="34"/>
          <w:rtl w:val="0"/>
        </w:rPr>
        <w:t xml:space="preserve">Publicação dos Anais</w:t>
      </w:r>
    </w:p>
    <w:p w:rsidR="00000000" w:rsidDel="00000000" w:rsidP="00000000" w:rsidRDefault="00000000" w:rsidRPr="00000000" w14:paraId="0000006F">
      <w:pPr>
        <w:spacing w:before="232" w:lineRule="auto"/>
        <w:ind w:left="497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Os organizadores da ERSI devem se responsabilizar pela extração, formatação e cessão dos metadados e dos artigos aceitos à SBC. Os dados devem ser formatados segundo formato requerido pela Diretoria de Publicações da SBC de modo que os anais possam ser publicados no Portal de Conteúdos das SBC (SBC Open Lib - SOL):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https://sol.sbc.org.br/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 O pedido das tabelas E envio dos metadados e artigos deve ser realizado via seção de eventos da SBC &lt;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eventos@sbc.org.br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&gt; e diretoria de publicações &lt;</w:t>
      </w: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publicacoes@sbc.org.br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&gt;. O envio deve também ser informado à CESI.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156" w:line="240" w:lineRule="auto"/>
        <w:ind w:left="1271" w:right="0" w:hanging="7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bookmarkStart w:colFirst="0" w:colLast="0" w:name="_4i7ojhp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Apêndices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4"/>
        </w:tabs>
        <w:spacing w:after="0" w:before="260" w:line="240" w:lineRule="auto"/>
        <w:ind w:left="1393" w:right="0" w:hanging="8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bookmarkStart w:colFirst="0" w:colLast="0" w:name="_2xcytpi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Carta de Chancela da Instituição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4"/>
        </w:tabs>
        <w:spacing w:after="0" w:before="191" w:line="266" w:lineRule="auto"/>
        <w:ind w:left="1393" w:right="530" w:hanging="8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 de Ciência do Manual de Organização de Eventos da SBC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4"/>
        </w:tabs>
        <w:spacing w:after="0" w:before="191" w:line="266" w:lineRule="auto"/>
        <w:ind w:left="1393" w:right="530" w:hanging="896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Carta de ciência do representante da CE-SI residente na cidade ou região (se houver) OU representante da SBC (representante institucional ou secretário regional da SBC, se houver)  comprometendo-se a ir na abertura do evento. </w:t>
      </w:r>
    </w:p>
    <w:sectPr>
      <w:type w:val="continuous"/>
      <w:pgSz w:h="16838" w:w="11906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MingLiU"/>
  <w:font w:name="Calibri"/>
  <w:font w:name="Courier New"/>
  <w:font w:name="Lucida Sans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78" w:hanging="582"/>
      </w:pPr>
      <w:rPr>
        <w:sz w:val="34"/>
        <w:szCs w:val="34"/>
        <w:vertAlign w:val="baseline"/>
      </w:rPr>
    </w:lvl>
    <w:lvl w:ilvl="1">
      <w:start w:val="1"/>
      <w:numFmt w:val="decimal"/>
      <w:lvlText w:val="%1.%2"/>
      <w:lvlJc w:val="left"/>
      <w:pPr>
        <w:ind w:left="1232" w:hanging="735.9999999999999"/>
      </w:pPr>
      <w:rPr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1082" w:hanging="237"/>
      </w:pPr>
      <w:rPr>
        <w:rFonts w:ascii="Courier New" w:cs="Courier New" w:eastAsia="Courier New" w:hAnsi="Courier New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232" w:hanging="237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1393" w:hanging="237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628" w:hanging="237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862" w:hanging="237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096" w:hanging="237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31" w:hanging="237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970" w:hanging="474"/>
      </w:pPr>
      <w:rPr>
        <w:sz w:val="34"/>
        <w:szCs w:val="34"/>
        <w:vertAlign w:val="baseline"/>
      </w:rPr>
    </w:lvl>
    <w:lvl w:ilvl="1">
      <w:start w:val="1"/>
      <w:numFmt w:val="decimal"/>
      <w:lvlText w:val="%1.%2"/>
      <w:lvlJc w:val="left"/>
      <w:pPr>
        <w:ind w:left="1697" w:hanging="727.0000000000001"/>
      </w:pPr>
      <w:rPr>
        <w:sz w:val="34"/>
        <w:szCs w:val="34"/>
        <w:vertAlign w:val="baseline"/>
      </w:rPr>
    </w:lvl>
    <w:lvl w:ilvl="2">
      <w:start w:val="1"/>
      <w:numFmt w:val="bullet"/>
      <w:lvlText w:val="●"/>
      <w:lvlJc w:val="left"/>
      <w:pPr>
        <w:ind w:left="1697" w:hanging="727.0000000000001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5" w:hanging="727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472" w:hanging="727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60" w:hanging="727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727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6136" w:hanging="727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7024" w:hanging="727.0000000000009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ublicacoes@sbc.org.br" TargetMode="External"/><Relationship Id="rId10" Type="http://schemas.openxmlformats.org/officeDocument/2006/relationships/hyperlink" Target="mailto:eventos@sbc.org.br" TargetMode="External"/><Relationship Id="rId9" Type="http://schemas.openxmlformats.org/officeDocument/2006/relationships/hyperlink" Target="https://sol.sbc.org.br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